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D2" w:rsidRDefault="002E4BA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3AA7E" wp14:editId="62BA1CB2">
                <wp:simplePos x="0" y="0"/>
                <wp:positionH relativeFrom="column">
                  <wp:posOffset>-83185</wp:posOffset>
                </wp:positionH>
                <wp:positionV relativeFrom="paragraph">
                  <wp:posOffset>-76200</wp:posOffset>
                </wp:positionV>
                <wp:extent cx="9843770" cy="1003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377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C0" w:rsidRPr="00682DBF" w:rsidRDefault="00682DBF" w:rsidP="00655F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E1DAC590t00" w:hAnsi="TTE1DAC590t00" w:cs="TTE1DAC590t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2DBF">
                              <w:rPr>
                                <w:rFonts w:ascii="TTE1DAC590t00" w:hAnsi="TTE1DAC590t00" w:cs="TTE1DAC590t00"/>
                                <w:sz w:val="28"/>
                                <w:szCs w:val="28"/>
                                <w:lang w:eastAsia="en-GB"/>
                              </w:rPr>
                              <w:t>Risk Asse</w:t>
                            </w:r>
                            <w:r w:rsidR="002E4BA0">
                              <w:rPr>
                                <w:rFonts w:ascii="TTE1DAC590t00" w:hAnsi="TTE1DAC590t00" w:cs="TTE1DAC590t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682DBF">
                              <w:rPr>
                                <w:rFonts w:ascii="TTE1DAC590t00" w:hAnsi="TTE1DAC590t00" w:cs="TTE1DAC590t00"/>
                                <w:sz w:val="28"/>
                                <w:szCs w:val="28"/>
                                <w:lang w:eastAsia="en-GB"/>
                              </w:rPr>
                              <w:t xml:space="preserve">sment </w:t>
                            </w:r>
                          </w:p>
                          <w:p w:rsidR="00FD0ED2" w:rsidRPr="00655F24" w:rsidRDefault="00466808" w:rsidP="00655F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E1DAC590t00" w:hAnsi="TTE1DAC590t00" w:cs="TTE1DAC590t00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TE1DAC590t00" w:hAnsi="TTE1DAC590t00" w:cs="TTE1DAC590t00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Use of MEWP and other Fork Lifts in and around the work area</w:t>
                            </w:r>
                          </w:p>
                          <w:p w:rsidR="004F7A62" w:rsidRDefault="00583ADB" w:rsidP="00E524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>Activity  XXX</w:t>
                            </w:r>
                            <w:proofErr w:type="gramEnd"/>
                          </w:p>
                          <w:p w:rsidR="00FD0ED2" w:rsidRDefault="00FD0ED2" w:rsidP="00E524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52455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 xml:space="preserve">Conducted by </w:t>
                            </w:r>
                            <w:r w:rsidR="002E4BA0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>XXX</w:t>
                            </w: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</w:p>
                          <w:p w:rsidR="00FD0ED2" w:rsidRPr="00E52455" w:rsidRDefault="00FD0ED2" w:rsidP="00E524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 xml:space="preserve">Date </w:t>
                            </w:r>
                            <w:r w:rsidR="002E4BA0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>XXX</w:t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4F7A62">
                              <w:rPr>
                                <w:rFonts w:ascii="TTE1DAC590t00" w:hAnsi="TTE1DAC590t00" w:cs="TTE1DAC590t00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A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-6pt;width:775.1pt;height: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">
                <v:path arrowok="t"/>
                <v:textbox>
                  <w:txbxContent>
                    <w:p w:rsidR="001337C0" w:rsidRPr="00682DBF" w:rsidRDefault="00682DBF" w:rsidP="00655F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E1DAC590t00" w:hAnsi="TTE1DAC590t00" w:cs="TTE1DAC590t00"/>
                          <w:sz w:val="28"/>
                          <w:szCs w:val="28"/>
                          <w:lang w:eastAsia="en-GB"/>
                        </w:rPr>
                      </w:pPr>
                      <w:r w:rsidRPr="00682DBF">
                        <w:rPr>
                          <w:rFonts w:ascii="TTE1DAC590t00" w:hAnsi="TTE1DAC590t00" w:cs="TTE1DAC590t00"/>
                          <w:sz w:val="28"/>
                          <w:szCs w:val="28"/>
                          <w:lang w:eastAsia="en-GB"/>
                        </w:rPr>
                        <w:t>Risk Asse</w:t>
                      </w:r>
                      <w:r w:rsidR="002E4BA0">
                        <w:rPr>
                          <w:rFonts w:ascii="TTE1DAC590t00" w:hAnsi="TTE1DAC590t00" w:cs="TTE1DAC590t0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682DBF">
                        <w:rPr>
                          <w:rFonts w:ascii="TTE1DAC590t00" w:hAnsi="TTE1DAC590t00" w:cs="TTE1DAC590t00"/>
                          <w:sz w:val="28"/>
                          <w:szCs w:val="28"/>
                          <w:lang w:eastAsia="en-GB"/>
                        </w:rPr>
                        <w:t xml:space="preserve">sment </w:t>
                      </w:r>
                    </w:p>
                    <w:p w:rsidR="00FD0ED2" w:rsidRPr="00655F24" w:rsidRDefault="00466808" w:rsidP="00655F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E1DAC590t00" w:hAnsi="TTE1DAC590t00" w:cs="TTE1DAC590t00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TE1DAC590t00" w:hAnsi="TTE1DAC590t00" w:cs="TTE1DAC590t00"/>
                          <w:b/>
                          <w:sz w:val="28"/>
                          <w:szCs w:val="28"/>
                          <w:lang w:eastAsia="en-GB"/>
                        </w:rPr>
                        <w:t>Use of MEWP and other Fork Lifts in and around the work area</w:t>
                      </w:r>
                    </w:p>
                    <w:p w:rsidR="004F7A62" w:rsidRDefault="00583ADB" w:rsidP="00E52455">
                      <w:pPr>
                        <w:autoSpaceDE w:val="0"/>
                        <w:autoSpaceDN w:val="0"/>
                        <w:adjustRightInd w:val="0"/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>Activity  XXX</w:t>
                      </w:r>
                      <w:proofErr w:type="gramEnd"/>
                    </w:p>
                    <w:p w:rsidR="00FD0ED2" w:rsidRDefault="00FD0ED2" w:rsidP="00E52455">
                      <w:pPr>
                        <w:autoSpaceDE w:val="0"/>
                        <w:autoSpaceDN w:val="0"/>
                        <w:adjustRightInd w:val="0"/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</w:pPr>
                      <w:r w:rsidRPr="00E52455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 xml:space="preserve">Conducted by </w:t>
                      </w:r>
                      <w:r w:rsidR="002E4BA0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>XXX</w:t>
                      </w: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</w:p>
                    <w:p w:rsidR="00FD0ED2" w:rsidRPr="00E52455" w:rsidRDefault="00FD0ED2" w:rsidP="00E52455">
                      <w:pPr>
                        <w:autoSpaceDE w:val="0"/>
                        <w:autoSpaceDN w:val="0"/>
                        <w:adjustRightInd w:val="0"/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 xml:space="preserve">Date </w:t>
                      </w:r>
                      <w:r w:rsidR="002E4BA0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>XXX</w:t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4F7A62">
                        <w:rPr>
                          <w:rFonts w:ascii="TTE1DAC590t00" w:hAnsi="TTE1DAC590t00" w:cs="TTE1DAC590t00"/>
                          <w:sz w:val="22"/>
                          <w:szCs w:val="22"/>
                          <w:lang w:eastAsia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D0ED2" w:rsidRDefault="00FD0ED2"/>
    <w:p w:rsidR="00FD0ED2" w:rsidRDefault="00FD0ED2"/>
    <w:p w:rsidR="00FD0ED2" w:rsidRDefault="00FD0ED2"/>
    <w:p w:rsidR="00FD0ED2" w:rsidRPr="007D02B7" w:rsidRDefault="00FD0ED2">
      <w:pPr>
        <w:rPr>
          <w:rFonts w:ascii="Arial" w:hAnsi="Arial" w:cs="Arial"/>
        </w:rPr>
      </w:pPr>
    </w:p>
    <w:p w:rsidR="00FD0ED2" w:rsidRPr="007D02B7" w:rsidRDefault="00FD0E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1275"/>
        <w:gridCol w:w="6804"/>
        <w:gridCol w:w="2410"/>
      </w:tblGrid>
      <w:tr w:rsidR="00FD0ED2" w:rsidRPr="007D02B7" w:rsidTr="002E4BA0">
        <w:tblPrEx>
          <w:tblCellMar>
            <w:top w:w="0" w:type="dxa"/>
            <w:bottom w:w="0" w:type="dxa"/>
          </w:tblCellMar>
        </w:tblPrEx>
        <w:trPr>
          <w:trHeight w:val="741"/>
          <w:tblHeader/>
        </w:trPr>
        <w:tc>
          <w:tcPr>
            <w:tcW w:w="2235" w:type="dxa"/>
          </w:tcPr>
          <w:p w:rsidR="00FD0ED2" w:rsidRPr="007D02B7" w:rsidRDefault="00FD0ED2">
            <w:pPr>
              <w:jc w:val="center"/>
              <w:rPr>
                <w:rFonts w:ascii="Arial" w:hAnsi="Arial" w:cs="Arial"/>
              </w:rPr>
            </w:pPr>
            <w:r w:rsidRPr="007D02B7">
              <w:rPr>
                <w:rFonts w:ascii="Arial" w:hAnsi="Arial" w:cs="Arial"/>
              </w:rPr>
              <w:t>WORK ACTIVITY</w:t>
            </w:r>
          </w:p>
        </w:tc>
        <w:tc>
          <w:tcPr>
            <w:tcW w:w="2835" w:type="dxa"/>
          </w:tcPr>
          <w:p w:rsidR="00FD0ED2" w:rsidRPr="007D02B7" w:rsidRDefault="00FD0ED2">
            <w:pPr>
              <w:jc w:val="center"/>
              <w:rPr>
                <w:rFonts w:ascii="Arial" w:hAnsi="Arial" w:cs="Arial"/>
              </w:rPr>
            </w:pPr>
            <w:r w:rsidRPr="007D02B7">
              <w:rPr>
                <w:rFonts w:ascii="Arial" w:hAnsi="Arial" w:cs="Arial"/>
              </w:rPr>
              <w:t>HAZARD</w:t>
            </w:r>
          </w:p>
        </w:tc>
        <w:tc>
          <w:tcPr>
            <w:tcW w:w="1275" w:type="dxa"/>
          </w:tcPr>
          <w:p w:rsidR="00FD0ED2" w:rsidRPr="007D02B7" w:rsidRDefault="002E4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AT </w:t>
            </w:r>
            <w:r w:rsidR="00FD0ED2" w:rsidRPr="007D02B7">
              <w:rPr>
                <w:rFonts w:ascii="Arial" w:hAnsi="Arial" w:cs="Arial"/>
              </w:rPr>
              <w:t xml:space="preserve">RISK </w:t>
            </w:r>
          </w:p>
        </w:tc>
        <w:tc>
          <w:tcPr>
            <w:tcW w:w="6804" w:type="dxa"/>
          </w:tcPr>
          <w:p w:rsidR="00FD0ED2" w:rsidRPr="007D02B7" w:rsidRDefault="00FD0ED2">
            <w:pPr>
              <w:jc w:val="center"/>
              <w:rPr>
                <w:rFonts w:ascii="Arial" w:hAnsi="Arial" w:cs="Arial"/>
              </w:rPr>
            </w:pPr>
            <w:r w:rsidRPr="007D02B7">
              <w:rPr>
                <w:rFonts w:ascii="Arial" w:hAnsi="Arial" w:cs="Arial"/>
              </w:rPr>
              <w:t>CONTROL MEASURES IN PLACE</w:t>
            </w:r>
          </w:p>
        </w:tc>
        <w:tc>
          <w:tcPr>
            <w:tcW w:w="2410" w:type="dxa"/>
          </w:tcPr>
          <w:p w:rsidR="00FD0ED2" w:rsidRPr="007D02B7" w:rsidRDefault="00FD0ED2">
            <w:pPr>
              <w:jc w:val="center"/>
              <w:rPr>
                <w:rFonts w:ascii="Arial" w:hAnsi="Arial" w:cs="Arial"/>
              </w:rPr>
            </w:pPr>
            <w:r w:rsidRPr="007D02B7">
              <w:rPr>
                <w:rFonts w:ascii="Arial" w:hAnsi="Arial" w:cs="Arial"/>
              </w:rPr>
              <w:t>FURTHER ACTION REQUIRED</w:t>
            </w:r>
            <w:r w:rsidR="00E52455">
              <w:rPr>
                <w:rFonts w:ascii="Arial" w:hAnsi="Arial" w:cs="Arial"/>
              </w:rPr>
              <w:t xml:space="preserve"> </w:t>
            </w:r>
          </w:p>
        </w:tc>
      </w:tr>
      <w:tr w:rsidR="00FD0ED2" w:rsidRPr="007D02B7" w:rsidTr="00E52455">
        <w:tblPrEx>
          <w:tblCellMar>
            <w:top w:w="0" w:type="dxa"/>
            <w:bottom w:w="0" w:type="dxa"/>
          </w:tblCellMar>
        </w:tblPrEx>
        <w:trPr>
          <w:trHeight w:val="7642"/>
        </w:trPr>
        <w:tc>
          <w:tcPr>
            <w:tcW w:w="2235" w:type="dxa"/>
          </w:tcPr>
          <w:p w:rsidR="00056563" w:rsidRPr="00682DBF" w:rsidRDefault="008C0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MEWP and f</w:t>
            </w:r>
            <w:r w:rsidR="0073549F" w:rsidRPr="00682DBF">
              <w:rPr>
                <w:rFonts w:ascii="Arial" w:hAnsi="Arial" w:cs="Arial"/>
                <w:sz w:val="22"/>
                <w:szCs w:val="22"/>
              </w:rPr>
              <w:t>ork lifts in and around the work area</w:t>
            </w:r>
            <w:r w:rsidR="00FD0ED2" w:rsidRPr="00682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66808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Vehicle overturning because of use on unsuitable ground or operator misuse</w:t>
            </w:r>
            <w:r w:rsidR="00466808" w:rsidRPr="00682DBF">
              <w:rPr>
                <w:rFonts w:ascii="Arial" w:hAnsi="Arial" w:cs="Arial"/>
                <w:sz w:val="22"/>
                <w:szCs w:val="22"/>
              </w:rPr>
              <w:t xml:space="preserve">. Injury to operator or others through loss of loads. Failure of equipment through exceeding load bearing capacity or mechanical failure or vehicle.  </w:t>
            </w:r>
            <w:r w:rsidR="00DE5B75" w:rsidRPr="00682DBF">
              <w:rPr>
                <w:rFonts w:ascii="Arial" w:hAnsi="Arial" w:cs="Arial"/>
                <w:sz w:val="22"/>
                <w:szCs w:val="22"/>
              </w:rPr>
              <w:t>Other injuries through incorrect use of controls.</w:t>
            </w: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 xml:space="preserve">Loss of load through collision with other objects </w:t>
            </w:r>
            <w:r w:rsidR="00085295" w:rsidRPr="00682DBF">
              <w:rPr>
                <w:rFonts w:ascii="Arial" w:hAnsi="Arial" w:cs="Arial"/>
                <w:sz w:val="22"/>
                <w:szCs w:val="22"/>
              </w:rPr>
              <w:t>including building and vehicles and overhead objects.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563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Serious or fatal crush or other impact injuries from veh</w:t>
            </w:r>
            <w:r w:rsidR="002535EF" w:rsidRPr="00682DBF">
              <w:rPr>
                <w:rFonts w:ascii="Arial" w:hAnsi="Arial" w:cs="Arial"/>
                <w:sz w:val="22"/>
                <w:szCs w:val="22"/>
              </w:rPr>
              <w:t>icles moving in and around the h</w:t>
            </w:r>
            <w:r w:rsidRPr="00682DBF">
              <w:rPr>
                <w:rFonts w:ascii="Arial" w:hAnsi="Arial" w:cs="Arial"/>
                <w:sz w:val="22"/>
                <w:szCs w:val="22"/>
              </w:rPr>
              <w:t>ospitality build area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Loss of load from MEWP or Fork Lift</w:t>
            </w:r>
          </w:p>
        </w:tc>
        <w:tc>
          <w:tcPr>
            <w:tcW w:w="1275" w:type="dxa"/>
          </w:tcPr>
          <w:p w:rsidR="00056563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Staff and others</w:t>
            </w: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Pr="00682DBF" w:rsidRDefault="00970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DBF" w:rsidRDefault="00682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D7" w:rsidRDefault="009709D7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Staff</w:t>
            </w:r>
            <w:r w:rsidR="008674ED">
              <w:rPr>
                <w:rFonts w:ascii="Arial" w:hAnsi="Arial" w:cs="Arial"/>
                <w:sz w:val="22"/>
                <w:szCs w:val="22"/>
              </w:rPr>
              <w:t>, visitors and members of the public</w:t>
            </w: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visitors and members of the public</w:t>
            </w: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Pr="00682DBF" w:rsidRDefault="0086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Staff, visitors, members of the public</w:t>
            </w:r>
          </w:p>
        </w:tc>
        <w:tc>
          <w:tcPr>
            <w:tcW w:w="6804" w:type="dxa"/>
          </w:tcPr>
          <w:p w:rsidR="0073549F" w:rsidRPr="00682DBF" w:rsidRDefault="00DE5B75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An</w:t>
            </w:r>
            <w:r w:rsidR="0073549F" w:rsidRPr="0068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D8E" w:rsidRPr="00682DBF">
              <w:rPr>
                <w:rFonts w:ascii="Arial" w:hAnsi="Arial" w:cs="Arial"/>
                <w:sz w:val="22"/>
                <w:szCs w:val="22"/>
              </w:rPr>
              <w:t>on-site</w:t>
            </w:r>
            <w:r w:rsidR="0073549F" w:rsidRPr="00682DBF">
              <w:rPr>
                <w:rFonts w:ascii="Arial" w:hAnsi="Arial" w:cs="Arial"/>
                <w:sz w:val="22"/>
                <w:szCs w:val="22"/>
              </w:rPr>
              <w:t xml:space="preserve"> risk assessment is conducted as to the suitability of the ground prior to commencement of</w:t>
            </w:r>
            <w:r w:rsidR="008C0A0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73549F" w:rsidRPr="00682DBF">
              <w:rPr>
                <w:rFonts w:ascii="Arial" w:hAnsi="Arial" w:cs="Arial"/>
                <w:sz w:val="22"/>
                <w:szCs w:val="22"/>
              </w:rPr>
              <w:t xml:space="preserve"> build</w:t>
            </w:r>
            <w:r w:rsidR="008674ED">
              <w:rPr>
                <w:rFonts w:ascii="Arial" w:hAnsi="Arial" w:cs="Arial"/>
                <w:sz w:val="22"/>
                <w:szCs w:val="22"/>
              </w:rPr>
              <w:t xml:space="preserve"> and authority to use vehicles</w:t>
            </w:r>
            <w:r w:rsidR="008C0A04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FE38D8">
              <w:rPr>
                <w:rFonts w:ascii="Arial" w:hAnsi="Arial" w:cs="Arial"/>
                <w:sz w:val="22"/>
                <w:szCs w:val="22"/>
              </w:rPr>
              <w:t xml:space="preserve"> only given by Site S</w:t>
            </w:r>
            <w:r w:rsidR="008674ED">
              <w:rPr>
                <w:rFonts w:ascii="Arial" w:hAnsi="Arial" w:cs="Arial"/>
                <w:sz w:val="22"/>
                <w:szCs w:val="22"/>
              </w:rPr>
              <w:t>upervisor when appropriate.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All MEWP and fork lifts are rough terrain type</w:t>
            </w:r>
            <w:r w:rsidR="002E4BA0">
              <w:rPr>
                <w:rFonts w:ascii="Arial" w:hAnsi="Arial" w:cs="Arial"/>
                <w:sz w:val="22"/>
                <w:szCs w:val="22"/>
              </w:rPr>
              <w:t>, or suitable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vehicles</w:t>
            </w:r>
            <w:r w:rsidR="008674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All fork lifts a</w:t>
            </w:r>
            <w:r w:rsidR="00C36068" w:rsidRPr="00682DBF">
              <w:rPr>
                <w:rFonts w:ascii="Arial" w:hAnsi="Arial" w:cs="Arial"/>
                <w:sz w:val="22"/>
                <w:szCs w:val="22"/>
              </w:rPr>
              <w:t xml:space="preserve">re acquired as fit for purpose, they are serviced and inspected in accordance with </w:t>
            </w:r>
            <w:r w:rsidR="00FE38D8" w:rsidRPr="00682DBF">
              <w:rPr>
                <w:rFonts w:ascii="Arial" w:hAnsi="Arial" w:cs="Arial"/>
                <w:sz w:val="22"/>
                <w:szCs w:val="22"/>
              </w:rPr>
              <w:t>manufacturer’s</w:t>
            </w:r>
            <w:r w:rsidR="00C36068" w:rsidRPr="00682DBF">
              <w:rPr>
                <w:rFonts w:ascii="Arial" w:hAnsi="Arial" w:cs="Arial"/>
                <w:sz w:val="22"/>
                <w:szCs w:val="22"/>
              </w:rPr>
              <w:t xml:space="preserve"> instructions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C36068" w:rsidRPr="00682DBF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in excellent mechanical condition.</w:t>
            </w:r>
          </w:p>
          <w:p w:rsidR="00466808" w:rsidRPr="00682DBF" w:rsidRDefault="00466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808" w:rsidRDefault="00466808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They were acquired after extensive liaison with the supplier</w:t>
            </w:r>
            <w:r w:rsidR="008C0A04">
              <w:rPr>
                <w:rFonts w:ascii="Arial" w:hAnsi="Arial" w:cs="Arial"/>
                <w:sz w:val="22"/>
                <w:szCs w:val="22"/>
              </w:rPr>
              <w:t>,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with regard to selection of the appropriate vehicle for the type of work that is carried out.</w:t>
            </w: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 w:rsidP="00FE38D8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Use of vehicle</w:t>
            </w:r>
            <w:r>
              <w:rPr>
                <w:rFonts w:ascii="Arial" w:hAnsi="Arial" w:cs="Arial"/>
                <w:sz w:val="22"/>
                <w:szCs w:val="22"/>
              </w:rPr>
              <w:t>s is strictly controlled, only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trai</w:t>
            </w:r>
            <w:r>
              <w:rPr>
                <w:rFonts w:ascii="Arial" w:hAnsi="Arial" w:cs="Arial"/>
                <w:sz w:val="22"/>
                <w:szCs w:val="22"/>
              </w:rPr>
              <w:t xml:space="preserve">ned personnel operate them and manufacturer’s instructions are followed. </w:t>
            </w: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Pr="00682DBF" w:rsidRDefault="0086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Vehicles are subject to a daily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pre use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check.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 xml:space="preserve">Driver/operators are fully trained and certified as competent in the use of the vehicles on site. </w:t>
            </w:r>
          </w:p>
          <w:p w:rsidR="008674ED" w:rsidRDefault="00867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4ED" w:rsidRPr="00682DBF" w:rsidRDefault="0086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Vehicles are immobilised when not in use</w:t>
            </w:r>
            <w:r w:rsidR="008C0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49F" w:rsidRPr="00682DBF" w:rsidRDefault="0073549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Constan</w:t>
            </w:r>
            <w:r w:rsidR="00FE38D8">
              <w:rPr>
                <w:rFonts w:ascii="Arial" w:hAnsi="Arial" w:cs="Arial"/>
                <w:sz w:val="22"/>
                <w:szCs w:val="22"/>
              </w:rPr>
              <w:t>t supervision is maintained of drivers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to ensure that vehicles are operated at an appropriate speed for the site conditions and that they follow </w:t>
            </w:r>
            <w:r w:rsidR="00466808" w:rsidRPr="00682DBF">
              <w:rPr>
                <w:rFonts w:ascii="Arial" w:hAnsi="Arial" w:cs="Arial"/>
                <w:sz w:val="22"/>
                <w:szCs w:val="22"/>
              </w:rPr>
              <w:t>training principles.</w:t>
            </w:r>
          </w:p>
          <w:p w:rsidR="00466808" w:rsidRPr="00682DBF" w:rsidRDefault="00466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808" w:rsidRPr="00682DBF" w:rsidRDefault="00466808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These vehicles are carrying out repetitive tasks lifting palletised type loads</w:t>
            </w:r>
            <w:r w:rsidR="007430EF" w:rsidRPr="00682DBF">
              <w:rPr>
                <w:rFonts w:ascii="Arial" w:hAnsi="Arial" w:cs="Arial"/>
                <w:sz w:val="22"/>
                <w:szCs w:val="22"/>
              </w:rPr>
              <w:t>. They operate well within their maximum capacity.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5295" w:rsidRPr="00682DBF" w:rsidRDefault="00085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5295" w:rsidRPr="00682DBF" w:rsidRDefault="00085295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Good housekeeping ensures that vehicle routes are kept free of obstruction. Vehicles and trailers not immediately required on site are moved away from the area to a suitable parking area</w:t>
            </w:r>
            <w:r w:rsidR="008674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295" w:rsidRPr="00682DBF" w:rsidRDefault="008C0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</w:t>
            </w:r>
            <w:r w:rsidR="00085295" w:rsidRPr="00682DBF">
              <w:rPr>
                <w:rFonts w:ascii="Arial" w:hAnsi="Arial" w:cs="Arial"/>
                <w:sz w:val="22"/>
                <w:szCs w:val="22"/>
              </w:rPr>
              <w:t>ovement of vehicles is strictly controlled and marshalled.</w:t>
            </w:r>
          </w:p>
          <w:p w:rsidR="00085295" w:rsidRPr="00682DBF" w:rsidRDefault="00085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0EF" w:rsidRPr="00682DBF" w:rsidRDefault="00085295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Banksmen are</w:t>
            </w:r>
            <w:r w:rsidR="00FE38D8">
              <w:rPr>
                <w:rFonts w:ascii="Arial" w:hAnsi="Arial" w:cs="Arial"/>
                <w:sz w:val="22"/>
                <w:szCs w:val="22"/>
              </w:rPr>
              <w:t xml:space="preserve"> allocated to assist operator when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site conditions dictate that assistance is required.</w:t>
            </w:r>
          </w:p>
          <w:p w:rsidR="007430EF" w:rsidRPr="00682DBF" w:rsidRDefault="00743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563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Area fenced and cordoned off with appropriate notices attached to cordon, warning of dangers to those who enter the area.</w:t>
            </w: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Pr="00682DBF" w:rsidRDefault="00FE3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access routes are identified to kept free of obstructions.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8D8" w:rsidRDefault="00FE38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Cordon area continually monitored by staff and entry by unauthorised persons prevented.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 xml:space="preserve">Movement of authorised vehicles inside the cordon strictly controlled and marshalled. </w:t>
            </w:r>
            <w:r w:rsidR="00FE38D8">
              <w:rPr>
                <w:rFonts w:ascii="Arial" w:hAnsi="Arial" w:cs="Arial"/>
                <w:sz w:val="22"/>
                <w:szCs w:val="22"/>
              </w:rPr>
              <w:t>Vehicle routes are identified</w:t>
            </w:r>
            <w:r w:rsidR="00196133">
              <w:rPr>
                <w:rFonts w:ascii="Arial" w:hAnsi="Arial" w:cs="Arial"/>
                <w:sz w:val="22"/>
                <w:szCs w:val="22"/>
              </w:rPr>
              <w:t xml:space="preserve"> to provide segregation between vehicles and pedestrians.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5EF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All vehicles fitted with reversing alarms and a SSOW established so that prior to the movement of any vehicle in the a</w:t>
            </w:r>
            <w:r w:rsidR="00085295" w:rsidRPr="00682DBF">
              <w:rPr>
                <w:rFonts w:ascii="Arial" w:hAnsi="Arial" w:cs="Arial"/>
                <w:sz w:val="22"/>
                <w:szCs w:val="22"/>
              </w:rPr>
              <w:t>rea during the build the driver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sounds his horn to indicate h</w:t>
            </w:r>
            <w:r w:rsidR="008C0A04">
              <w:rPr>
                <w:rFonts w:ascii="Arial" w:hAnsi="Arial" w:cs="Arial"/>
                <w:sz w:val="22"/>
                <w:szCs w:val="22"/>
              </w:rPr>
              <w:t>e is about to move his vehicle.</w:t>
            </w:r>
          </w:p>
          <w:p w:rsidR="00FD0ED2" w:rsidRPr="00682DBF" w:rsidRDefault="002535EF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Drivers fully briefed on site rules</w:t>
            </w:r>
            <w:r w:rsidR="008674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0ED2" w:rsidRPr="00682DBF" w:rsidRDefault="008C0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banks</w:t>
            </w:r>
            <w:r w:rsidR="00FD0ED2" w:rsidRPr="00682DBF">
              <w:rPr>
                <w:rFonts w:ascii="Arial" w:hAnsi="Arial" w:cs="Arial"/>
                <w:sz w:val="22"/>
                <w:szCs w:val="22"/>
              </w:rPr>
              <w:t>man</w:t>
            </w:r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FD0ED2" w:rsidRPr="00682DBF">
              <w:rPr>
                <w:rFonts w:ascii="Arial" w:hAnsi="Arial" w:cs="Arial"/>
                <w:sz w:val="22"/>
                <w:szCs w:val="22"/>
              </w:rPr>
              <w:t xml:space="preserve"> identified for each vehicle movement to assist the driver.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All vehicle movements are carried out at walking pace or less.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Area kept free of objects that may hinder the movement of the vehicles or obstruct the drivers all round view of his vehicle wherever possible.</w:t>
            </w:r>
          </w:p>
          <w:p w:rsidR="00FD0ED2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5EF" w:rsidRPr="00682DBF" w:rsidRDefault="00FD0ED2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 xml:space="preserve">All staff wear </w:t>
            </w:r>
            <w:proofErr w:type="gramStart"/>
            <w:r w:rsidRPr="00682DBF">
              <w:rPr>
                <w:rFonts w:ascii="Arial" w:hAnsi="Arial" w:cs="Arial"/>
                <w:sz w:val="22"/>
                <w:szCs w:val="22"/>
              </w:rPr>
              <w:t>appropriate</w:t>
            </w:r>
            <w:proofErr w:type="gramEnd"/>
            <w:r w:rsidRPr="00682DBF">
              <w:rPr>
                <w:rFonts w:ascii="Arial" w:hAnsi="Arial" w:cs="Arial"/>
                <w:sz w:val="22"/>
                <w:szCs w:val="22"/>
              </w:rPr>
              <w:t xml:space="preserve"> hi viz clothing and other </w:t>
            </w:r>
            <w:r w:rsidR="002535EF" w:rsidRPr="00682DBF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Pr="00682DBF">
              <w:rPr>
                <w:rFonts w:ascii="Arial" w:hAnsi="Arial" w:cs="Arial"/>
                <w:sz w:val="22"/>
                <w:szCs w:val="22"/>
              </w:rPr>
              <w:t>PPE.</w:t>
            </w: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 xml:space="preserve">All equipment </w:t>
            </w:r>
            <w:r w:rsidR="00A94D8E" w:rsidRPr="00682DBF">
              <w:rPr>
                <w:rFonts w:ascii="Arial" w:hAnsi="Arial" w:cs="Arial"/>
                <w:sz w:val="22"/>
                <w:szCs w:val="22"/>
              </w:rPr>
              <w:t>stillage’s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are purpose built for transport by fork lifts. </w:t>
            </w: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All loads carried are well within the SWL of the vehicle.</w:t>
            </w: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Area is surveyed prior to use of fork lifts a</w:t>
            </w:r>
            <w:r w:rsidR="008C0A04">
              <w:rPr>
                <w:rFonts w:ascii="Arial" w:hAnsi="Arial" w:cs="Arial"/>
                <w:sz w:val="22"/>
                <w:szCs w:val="22"/>
              </w:rPr>
              <w:t>nd any defects in the surface are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identified and marked to</w:t>
            </w:r>
            <w:r w:rsidR="008C0A04">
              <w:rPr>
                <w:rFonts w:ascii="Arial" w:hAnsi="Arial" w:cs="Arial"/>
                <w:sz w:val="22"/>
                <w:szCs w:val="22"/>
              </w:rPr>
              <w:t xml:space="preserve"> prevent overturning movements.</w:t>
            </w:r>
          </w:p>
          <w:p w:rsidR="001C1911" w:rsidRPr="00682DBF" w:rsidRDefault="001C1911">
            <w:pPr>
              <w:rPr>
                <w:rFonts w:ascii="Arial" w:hAnsi="Arial" w:cs="Arial"/>
                <w:sz w:val="22"/>
                <w:szCs w:val="22"/>
              </w:rPr>
            </w:pPr>
            <w:r w:rsidRPr="00682DBF">
              <w:rPr>
                <w:rFonts w:ascii="Arial" w:hAnsi="Arial" w:cs="Arial"/>
                <w:sz w:val="22"/>
                <w:szCs w:val="22"/>
              </w:rPr>
              <w:t>Individual loads, in particular those of an unknown or unbalanced centre of gravity</w:t>
            </w:r>
            <w:r w:rsidR="008C0A04">
              <w:rPr>
                <w:rFonts w:ascii="Arial" w:hAnsi="Arial" w:cs="Arial"/>
                <w:sz w:val="22"/>
                <w:szCs w:val="22"/>
              </w:rPr>
              <w:t>,</w:t>
            </w:r>
            <w:r w:rsidRPr="00682DBF">
              <w:rPr>
                <w:rFonts w:ascii="Arial" w:hAnsi="Arial" w:cs="Arial"/>
                <w:sz w:val="22"/>
                <w:szCs w:val="22"/>
              </w:rPr>
              <w:t xml:space="preserve"> are secured to the fork lift as necessary.</w:t>
            </w:r>
          </w:p>
        </w:tc>
        <w:tc>
          <w:tcPr>
            <w:tcW w:w="2410" w:type="dxa"/>
          </w:tcPr>
          <w:p w:rsidR="002E4BA0" w:rsidRDefault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Pr="002E4BA0" w:rsidRDefault="002E4BA0" w:rsidP="002E4BA0">
            <w:pPr>
              <w:rPr>
                <w:rFonts w:ascii="Arial" w:hAnsi="Arial" w:cs="Arial"/>
              </w:rPr>
            </w:pPr>
          </w:p>
          <w:p w:rsidR="002E4BA0" w:rsidRDefault="002E4BA0" w:rsidP="002E4BA0">
            <w:pPr>
              <w:rPr>
                <w:rFonts w:ascii="Arial" w:hAnsi="Arial" w:cs="Arial"/>
              </w:rPr>
            </w:pPr>
          </w:p>
          <w:p w:rsidR="00FD0ED2" w:rsidRPr="002E4BA0" w:rsidRDefault="00FD0ED2" w:rsidP="002E4B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1911" w:rsidRPr="00DE5B75" w:rsidRDefault="001C1911" w:rsidP="00DE5B75"/>
    <w:sectPr w:rsidR="001C1911" w:rsidRPr="00DE5B75" w:rsidSect="00682DBF">
      <w:footerReference w:type="default" r:id="rId6"/>
      <w:pgSz w:w="16838" w:h="11906" w:orient="landscape"/>
      <w:pgMar w:top="568" w:right="678" w:bottom="426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99" w:rsidRDefault="00233599" w:rsidP="001C1911">
      <w:r>
        <w:separator/>
      </w:r>
    </w:p>
  </w:endnote>
  <w:endnote w:type="continuationSeparator" w:id="0">
    <w:p w:rsidR="00233599" w:rsidRDefault="00233599" w:rsidP="001C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DAC590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C0" w:rsidRPr="00682DBF" w:rsidRDefault="001337C0" w:rsidP="001337C0">
    <w:pPr>
      <w:pStyle w:val="Footer"/>
      <w:tabs>
        <w:tab w:val="left" w:pos="4340"/>
        <w:tab w:val="right" w:pos="15451"/>
      </w:tabs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 w:rsidR="008C0A04">
      <w:rPr>
        <w:rFonts w:ascii="Arial" w:hAnsi="Arial" w:cs="Arial"/>
        <w:sz w:val="22"/>
        <w:szCs w:val="22"/>
      </w:rPr>
      <w:t>RA</w:t>
    </w:r>
    <w:r w:rsidR="002E4BA0">
      <w:rPr>
        <w:rFonts w:ascii="Arial" w:hAnsi="Arial" w:cs="Arial"/>
        <w:sz w:val="22"/>
        <w:szCs w:val="22"/>
      </w:rPr>
      <w:t xml:space="preserve">MEFLT ESS </w:t>
    </w:r>
    <w:r w:rsidR="00682DBF" w:rsidRPr="00682DBF">
      <w:rPr>
        <w:rFonts w:ascii="Arial" w:hAnsi="Arial" w:cs="Arial"/>
        <w:sz w:val="22"/>
        <w:szCs w:val="22"/>
      </w:rPr>
      <w:t xml:space="preserve">Page </w:t>
    </w:r>
    <w:r w:rsidRPr="00682DBF">
      <w:rPr>
        <w:rFonts w:ascii="Arial" w:hAnsi="Arial" w:cs="Arial"/>
        <w:sz w:val="22"/>
        <w:szCs w:val="22"/>
      </w:rPr>
      <w:fldChar w:fldCharType="begin"/>
    </w:r>
    <w:r w:rsidRPr="00682DBF">
      <w:rPr>
        <w:rFonts w:ascii="Arial" w:hAnsi="Arial" w:cs="Arial"/>
        <w:sz w:val="22"/>
        <w:szCs w:val="22"/>
      </w:rPr>
      <w:instrText xml:space="preserve"> PAGE   \* MERGEFORMAT </w:instrText>
    </w:r>
    <w:r w:rsidRPr="00682DBF">
      <w:rPr>
        <w:rFonts w:ascii="Arial" w:hAnsi="Arial" w:cs="Arial"/>
        <w:sz w:val="22"/>
        <w:szCs w:val="22"/>
      </w:rPr>
      <w:fldChar w:fldCharType="separate"/>
    </w:r>
    <w:r w:rsidR="00A94D8E">
      <w:rPr>
        <w:rFonts w:ascii="Arial" w:hAnsi="Arial" w:cs="Arial"/>
        <w:noProof/>
        <w:sz w:val="22"/>
        <w:szCs w:val="22"/>
      </w:rPr>
      <w:t>2</w:t>
    </w:r>
    <w:r w:rsidRPr="00682DBF">
      <w:rPr>
        <w:rFonts w:ascii="Arial" w:hAnsi="Arial" w:cs="Arial"/>
        <w:noProof/>
        <w:sz w:val="22"/>
        <w:szCs w:val="22"/>
      </w:rPr>
      <w:fldChar w:fldCharType="end"/>
    </w:r>
  </w:p>
  <w:p w:rsidR="001C1911" w:rsidRDefault="001C1911" w:rsidP="001337C0">
    <w:pPr>
      <w:pStyle w:val="Footer"/>
      <w:tabs>
        <w:tab w:val="right" w:pos="154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99" w:rsidRDefault="00233599" w:rsidP="001C1911">
      <w:r>
        <w:separator/>
      </w:r>
    </w:p>
  </w:footnote>
  <w:footnote w:type="continuationSeparator" w:id="0">
    <w:p w:rsidR="00233599" w:rsidRDefault="00233599" w:rsidP="001C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B7"/>
    <w:rsid w:val="00056563"/>
    <w:rsid w:val="00075416"/>
    <w:rsid w:val="00085295"/>
    <w:rsid w:val="001337C0"/>
    <w:rsid w:val="00196133"/>
    <w:rsid w:val="001C1911"/>
    <w:rsid w:val="00233599"/>
    <w:rsid w:val="002535EF"/>
    <w:rsid w:val="002E4BA0"/>
    <w:rsid w:val="00466808"/>
    <w:rsid w:val="00474C5C"/>
    <w:rsid w:val="004C49D3"/>
    <w:rsid w:val="004F7A62"/>
    <w:rsid w:val="00583ADB"/>
    <w:rsid w:val="00655F24"/>
    <w:rsid w:val="00682DBF"/>
    <w:rsid w:val="0073549F"/>
    <w:rsid w:val="007430EF"/>
    <w:rsid w:val="0074780D"/>
    <w:rsid w:val="007D02B7"/>
    <w:rsid w:val="008674ED"/>
    <w:rsid w:val="00883E67"/>
    <w:rsid w:val="008923E4"/>
    <w:rsid w:val="008C0A04"/>
    <w:rsid w:val="009709D7"/>
    <w:rsid w:val="009B0B43"/>
    <w:rsid w:val="009E0F9D"/>
    <w:rsid w:val="00A94D8E"/>
    <w:rsid w:val="00B40A6E"/>
    <w:rsid w:val="00B46CDF"/>
    <w:rsid w:val="00C36068"/>
    <w:rsid w:val="00DE5B75"/>
    <w:rsid w:val="00E52455"/>
    <w:rsid w:val="00E54C2D"/>
    <w:rsid w:val="00F23111"/>
    <w:rsid w:val="00FC7CA4"/>
    <w:rsid w:val="00FD0ED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D0BB1"/>
  <w15:chartTrackingRefBased/>
  <w15:docId w15:val="{34C44D02-CC75-864C-A1F8-EFE60B7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9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9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19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3333</Characters>
  <Application>Microsoft Office Word</Application>
  <DocSecurity>0</DocSecurity>
  <Lines>277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</Company>
  <LinksUpToDate>false</LinksUpToDate>
  <CharactersWithSpaces>3912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ESS</dc:creator>
  <cp:keywords/>
  <dc:description/>
  <cp:lastModifiedBy>Ben Harding</cp:lastModifiedBy>
  <cp:revision>3</cp:revision>
  <cp:lastPrinted>2012-08-27T15:05:00Z</cp:lastPrinted>
  <dcterms:created xsi:type="dcterms:W3CDTF">2018-11-06T21:37:00Z</dcterms:created>
  <dcterms:modified xsi:type="dcterms:W3CDTF">2018-11-06T21:39:00Z</dcterms:modified>
  <cp:category/>
</cp:coreProperties>
</file>